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AF" w:rsidRPr="008A0BAF" w:rsidRDefault="008A0BAF" w:rsidP="008A0BAF">
      <w:pPr>
        <w:pStyle w:val="NormalWeb"/>
        <w:jc w:val="center"/>
        <w:rPr>
          <w:b/>
          <w:u w:val="single"/>
        </w:rPr>
      </w:pPr>
      <w:r w:rsidRPr="008A0BAF">
        <w:rPr>
          <w:b/>
          <w:u w:val="single"/>
        </w:rPr>
        <w:t xml:space="preserve">Guideline for Testing of Chlamydia trachomatis and </w:t>
      </w:r>
      <w:proofErr w:type="spellStart"/>
      <w:r w:rsidRPr="008A0BAF">
        <w:rPr>
          <w:b/>
          <w:u w:val="single"/>
        </w:rPr>
        <w:t>Neiserria</w:t>
      </w:r>
      <w:proofErr w:type="spellEnd"/>
      <w:r w:rsidRPr="008A0BAF">
        <w:rPr>
          <w:b/>
          <w:u w:val="single"/>
        </w:rPr>
        <w:t xml:space="preserve"> gonorrhoeae</w:t>
      </w:r>
    </w:p>
    <w:p w:rsidR="008A0BAF" w:rsidRDefault="008A0BAF" w:rsidP="008A0BAF">
      <w:pPr>
        <w:pStyle w:val="NormalWeb"/>
        <w:spacing w:before="0" w:beforeAutospacing="0" w:after="0" w:afterAutospacing="0"/>
        <w:rPr>
          <w:b/>
        </w:rPr>
      </w:pPr>
    </w:p>
    <w:p w:rsidR="008A0BAF" w:rsidRDefault="008A0BAF" w:rsidP="008A0BAF">
      <w:pPr>
        <w:pStyle w:val="NormalWeb"/>
        <w:spacing w:before="0" w:beforeAutospacing="0" w:after="0" w:afterAutospacing="0"/>
        <w:rPr>
          <w:b/>
        </w:rPr>
      </w:pPr>
    </w:p>
    <w:p w:rsidR="008A0BAF" w:rsidRDefault="008A0BAF" w:rsidP="008A0BAF">
      <w:pPr>
        <w:pStyle w:val="NormalWeb"/>
        <w:spacing w:before="0" w:beforeAutospacing="0" w:after="0" w:afterAutospacing="0"/>
      </w:pPr>
      <w:r w:rsidRPr="008A0BAF">
        <w:rPr>
          <w:b/>
        </w:rPr>
        <w:t>Focus Population:</w:t>
      </w:r>
      <w:r>
        <w:t xml:space="preserve"> Post pubescent females and males </w:t>
      </w:r>
    </w:p>
    <w:p w:rsidR="008A0BAF" w:rsidRDefault="008A0BAF" w:rsidP="008A0BAF">
      <w:pPr>
        <w:pStyle w:val="NormalWeb"/>
        <w:spacing w:before="0" w:beforeAutospacing="0" w:after="0" w:afterAutospacing="0"/>
      </w:pPr>
    </w:p>
    <w:p w:rsidR="008A0BAF" w:rsidRDefault="008A0BAF" w:rsidP="008A0BAF">
      <w:pPr>
        <w:pStyle w:val="NormalWeb"/>
        <w:spacing w:before="0" w:beforeAutospacing="0" w:after="0" w:afterAutospacing="0"/>
      </w:pPr>
      <w:r w:rsidRPr="008A0BAF">
        <w:rPr>
          <w:b/>
        </w:rPr>
        <w:t>Excluded Population:</w:t>
      </w:r>
      <w:r>
        <w:t xml:space="preserve"> Child sexual assault involving boys AND rectal and oropharyngeal infections in girls </w:t>
      </w:r>
    </w:p>
    <w:p w:rsidR="008A0BAF" w:rsidRDefault="008A0BAF" w:rsidP="008A0BAF">
      <w:pPr>
        <w:pStyle w:val="NormalWeb"/>
        <w:spacing w:before="0" w:beforeAutospacing="0" w:after="0" w:afterAutospacing="0"/>
      </w:pPr>
    </w:p>
    <w:p w:rsidR="008A0BAF" w:rsidRPr="008A0BAF" w:rsidRDefault="008A0BAF" w:rsidP="008A0BAF">
      <w:pPr>
        <w:pStyle w:val="NormalWeb"/>
        <w:spacing w:before="0" w:beforeAutospacing="0" w:after="0" w:afterAutospacing="0"/>
        <w:rPr>
          <w:b/>
        </w:rPr>
      </w:pPr>
      <w:r w:rsidRPr="008A0BAF">
        <w:rPr>
          <w:b/>
        </w:rPr>
        <w:t xml:space="preserve">Background </w:t>
      </w:r>
    </w:p>
    <w:p w:rsidR="008A0BAF" w:rsidRDefault="008A0BAF" w:rsidP="008A0BAF">
      <w:pPr>
        <w:pStyle w:val="NormalWeb"/>
        <w:numPr>
          <w:ilvl w:val="0"/>
          <w:numId w:val="1"/>
        </w:numPr>
        <w:spacing w:before="0" w:beforeAutospacing="0" w:after="0" w:afterAutospacing="0"/>
      </w:pPr>
      <w:r>
        <w:t xml:space="preserve">C. trachomatis is the most common notifiable communicable disease in the US and the majority of individuals are not aware they are infected. For women it can result in significant negative reproductive health issues. </w:t>
      </w:r>
    </w:p>
    <w:p w:rsidR="008A0BAF" w:rsidRDefault="008A0BAF" w:rsidP="008A0BAF">
      <w:pPr>
        <w:pStyle w:val="NormalWeb"/>
        <w:numPr>
          <w:ilvl w:val="0"/>
          <w:numId w:val="1"/>
        </w:numPr>
        <w:spacing w:before="0" w:beforeAutospacing="0" w:after="0" w:afterAutospacing="0"/>
      </w:pPr>
      <w:proofErr w:type="spellStart"/>
      <w:r>
        <w:t>Neiserria</w:t>
      </w:r>
      <w:proofErr w:type="spellEnd"/>
      <w:r>
        <w:t xml:space="preserve"> gonorrhoeae is the second most common notifiable communicable disease with women frequently asymptomatic until developing PID. </w:t>
      </w:r>
    </w:p>
    <w:p w:rsidR="008A0BAF" w:rsidRDefault="008A0BAF" w:rsidP="008A0BAF">
      <w:pPr>
        <w:pStyle w:val="NormalWeb"/>
        <w:numPr>
          <w:ilvl w:val="0"/>
          <w:numId w:val="1"/>
        </w:numPr>
        <w:spacing w:before="0" w:beforeAutospacing="0" w:after="0" w:afterAutospacing="0"/>
      </w:pPr>
      <w:r>
        <w:t xml:space="preserve">Males who have sex with males (MSM) and have multiple partners, anonymous partners, and unprotected oral and rectal sex have a high prevalence of GC and Chlamydia at these </w:t>
      </w:r>
      <w:proofErr w:type="spellStart"/>
      <w:r>
        <w:t>extragenital</w:t>
      </w:r>
      <w:proofErr w:type="spellEnd"/>
      <w:r>
        <w:t xml:space="preserve"> sites </w:t>
      </w:r>
    </w:p>
    <w:p w:rsidR="008A0BAF" w:rsidRDefault="008A0BAF" w:rsidP="008A0BAF">
      <w:pPr>
        <w:pStyle w:val="NormalWeb"/>
        <w:spacing w:before="0" w:beforeAutospacing="0" w:after="0" w:afterAutospacing="0"/>
      </w:pPr>
    </w:p>
    <w:p w:rsidR="008A0BAF" w:rsidRPr="008A0BAF" w:rsidRDefault="008A0BAF" w:rsidP="008A0BAF">
      <w:pPr>
        <w:pStyle w:val="NormalWeb"/>
        <w:spacing w:before="0" w:beforeAutospacing="0" w:after="0" w:afterAutospacing="0"/>
        <w:rPr>
          <w:b/>
        </w:rPr>
      </w:pPr>
      <w:r w:rsidRPr="008A0BAF">
        <w:rPr>
          <w:b/>
        </w:rPr>
        <w:t xml:space="preserve">Recommendations </w:t>
      </w:r>
    </w:p>
    <w:p w:rsidR="008A0BAF" w:rsidRDefault="008A0BAF" w:rsidP="008A0BAF">
      <w:pPr>
        <w:pStyle w:val="NormalWeb"/>
        <w:numPr>
          <w:ilvl w:val="0"/>
          <w:numId w:val="2"/>
        </w:numPr>
        <w:spacing w:before="0" w:beforeAutospacing="0" w:after="0" w:afterAutospacing="0"/>
      </w:pPr>
      <w:r>
        <w:t xml:space="preserve">Nucleic amplification tests (NAATs) are recommended for detection of genital tract infections in men and women with and without symptoms </w:t>
      </w:r>
    </w:p>
    <w:p w:rsidR="008A0BAF" w:rsidRDefault="008A0BAF" w:rsidP="008A0BAF">
      <w:pPr>
        <w:pStyle w:val="NormalWeb"/>
        <w:numPr>
          <w:ilvl w:val="0"/>
          <w:numId w:val="2"/>
        </w:numPr>
        <w:spacing w:before="0" w:beforeAutospacing="0" w:after="0" w:afterAutospacing="0"/>
      </w:pPr>
      <w:r>
        <w:t xml:space="preserve">Optimal specimen types for NAATs are vaginal swabs for women and first catch urine for men </w:t>
      </w:r>
    </w:p>
    <w:p w:rsidR="008A0BAF" w:rsidRDefault="008A0BAF" w:rsidP="008A0BAF">
      <w:pPr>
        <w:pStyle w:val="NormalWeb"/>
        <w:numPr>
          <w:ilvl w:val="0"/>
          <w:numId w:val="2"/>
        </w:numPr>
        <w:spacing w:before="0" w:beforeAutospacing="0" w:after="0" w:afterAutospacing="0"/>
      </w:pPr>
      <w:r>
        <w:t xml:space="preserve">NAATs have NOT been cleared by FDA for detection of rectal and oropharyngeal infections but CDC recommends that NAATs be used based on increased sensitivity, ease of specimen transport, and processing. </w:t>
      </w:r>
    </w:p>
    <w:p w:rsidR="008A0BAF" w:rsidRDefault="008A0BAF" w:rsidP="008A0BAF">
      <w:pPr>
        <w:pStyle w:val="NormalWeb"/>
        <w:spacing w:before="0" w:beforeAutospacing="0" w:after="0" w:afterAutospacing="0"/>
        <w:ind w:left="720"/>
      </w:pPr>
    </w:p>
    <w:p w:rsidR="008A0BAF" w:rsidRPr="008A0BAF" w:rsidRDefault="008A0BAF" w:rsidP="008A0BAF">
      <w:pPr>
        <w:pStyle w:val="NormalWeb"/>
        <w:spacing w:before="0" w:beforeAutospacing="0" w:after="0" w:afterAutospacing="0"/>
        <w:rPr>
          <w:b/>
        </w:rPr>
      </w:pPr>
      <w:r w:rsidRPr="008A0BAF">
        <w:rPr>
          <w:b/>
        </w:rPr>
        <w:t xml:space="preserve">Specimen Collection and Ordering Mechanics </w:t>
      </w:r>
    </w:p>
    <w:p w:rsidR="008A0BAF" w:rsidRDefault="008A0BAF" w:rsidP="008A0BAF">
      <w:pPr>
        <w:pStyle w:val="NormalWeb"/>
        <w:numPr>
          <w:ilvl w:val="0"/>
          <w:numId w:val="3"/>
        </w:numPr>
        <w:spacing w:before="0" w:beforeAutospacing="0" w:after="0" w:afterAutospacing="0"/>
      </w:pPr>
      <w:r>
        <w:t xml:space="preserve">At HDVCH the GC and Chlamydia PCR are the NAATs used </w:t>
      </w:r>
    </w:p>
    <w:p w:rsidR="008A0BAF" w:rsidRPr="008A0BAF" w:rsidRDefault="008A0BAF" w:rsidP="008A0BAF">
      <w:pPr>
        <w:pStyle w:val="NormalWeb"/>
        <w:numPr>
          <w:ilvl w:val="0"/>
          <w:numId w:val="3"/>
        </w:numPr>
        <w:spacing w:before="0" w:beforeAutospacing="0" w:after="0" w:afterAutospacing="0"/>
        <w:rPr>
          <w:b/>
          <w:i/>
        </w:rPr>
      </w:pPr>
      <w:r w:rsidRPr="008A0BAF">
        <w:rPr>
          <w:b/>
          <w:i/>
        </w:rPr>
        <w:t xml:space="preserve">For females, vaginal swabs should be obtained regardless of whether a pelvic and/or speculum exam is performed </w:t>
      </w:r>
    </w:p>
    <w:p w:rsidR="008A0BAF" w:rsidRDefault="008A0BAF" w:rsidP="008A0BAF">
      <w:pPr>
        <w:pStyle w:val="NormalWeb"/>
        <w:numPr>
          <w:ilvl w:val="1"/>
          <w:numId w:val="3"/>
        </w:numPr>
        <w:spacing w:before="0" w:beforeAutospacing="0" w:after="0" w:afterAutospacing="0"/>
      </w:pPr>
      <w:r>
        <w:t>Vaginal and cervical swabs have equivalent sensitivity</w:t>
      </w:r>
      <w:r>
        <w:t xml:space="preserve"> and specificity</w:t>
      </w:r>
    </w:p>
    <w:p w:rsidR="008A0BAF" w:rsidRDefault="008A0BAF" w:rsidP="008A0BAF">
      <w:pPr>
        <w:pStyle w:val="NormalWeb"/>
        <w:numPr>
          <w:ilvl w:val="1"/>
          <w:numId w:val="3"/>
        </w:numPr>
        <w:spacing w:before="0" w:beforeAutospacing="0" w:after="0" w:afterAutospacing="0"/>
      </w:pPr>
      <w:r>
        <w:t xml:space="preserve">Self-collected vaginal swabs are equivalent in sensitivity and specificity as clinician collected swabs </w:t>
      </w:r>
    </w:p>
    <w:p w:rsidR="008A0BAF" w:rsidRDefault="008A0BAF" w:rsidP="008A0BAF">
      <w:pPr>
        <w:pStyle w:val="NormalWeb"/>
        <w:numPr>
          <w:ilvl w:val="1"/>
          <w:numId w:val="3"/>
        </w:numPr>
        <w:spacing w:before="0" w:beforeAutospacing="0" w:after="0" w:afterAutospacing="0"/>
      </w:pPr>
      <w:r>
        <w:t xml:space="preserve">First catch urine is less acceptable since it detects up to 10% fewer infections when compared to vaginal swabs </w:t>
      </w:r>
    </w:p>
    <w:p w:rsidR="008A0BAF" w:rsidRDefault="008A0BAF" w:rsidP="008A0BAF">
      <w:pPr>
        <w:pStyle w:val="NormalWeb"/>
        <w:numPr>
          <w:ilvl w:val="0"/>
          <w:numId w:val="3"/>
        </w:numPr>
        <w:spacing w:before="0" w:beforeAutospacing="0" w:after="0" w:afterAutospacing="0"/>
        <w:rPr>
          <w:b/>
          <w:i/>
        </w:rPr>
      </w:pPr>
      <w:r w:rsidRPr="008A0BAF">
        <w:rPr>
          <w:b/>
          <w:i/>
        </w:rPr>
        <w:t xml:space="preserve">For males obtain a first catch urine sample, which is equivalent or superior to urethral swabs </w:t>
      </w:r>
    </w:p>
    <w:p w:rsidR="008A0BAF" w:rsidRPr="008A0BAF" w:rsidRDefault="008A0BAF" w:rsidP="008A0BAF">
      <w:pPr>
        <w:pStyle w:val="NormalWeb"/>
        <w:numPr>
          <w:ilvl w:val="0"/>
          <w:numId w:val="3"/>
        </w:numPr>
        <w:spacing w:before="0" w:beforeAutospacing="0" w:after="0" w:afterAutospacing="0"/>
        <w:rPr>
          <w:b/>
          <w:i/>
        </w:rPr>
      </w:pPr>
      <w:r>
        <w:t xml:space="preserve">For detection of </w:t>
      </w:r>
      <w:proofErr w:type="spellStart"/>
      <w:r>
        <w:t>extragenital</w:t>
      </w:r>
      <w:proofErr w:type="spellEnd"/>
      <w:r>
        <w:t xml:space="preserve"> site infections (oropharyngeal and rectal) in men and women, order the usual GC and Chlamydia PCR </w:t>
      </w:r>
      <w:r w:rsidRPr="008A0BAF">
        <w:rPr>
          <w:b/>
        </w:rPr>
        <w:t>AND indicate the sites on the order</w:t>
      </w:r>
      <w:r>
        <w:t xml:space="preserve"> </w:t>
      </w:r>
    </w:p>
    <w:p w:rsidR="008A0BAF" w:rsidRDefault="008A0BAF" w:rsidP="008A0BAF">
      <w:pPr>
        <w:pStyle w:val="NormalWeb"/>
        <w:numPr>
          <w:ilvl w:val="1"/>
          <w:numId w:val="3"/>
        </w:numPr>
        <w:spacing w:before="0" w:beforeAutospacing="0" w:after="0" w:afterAutospacing="0"/>
      </w:pPr>
      <w:r>
        <w:t xml:space="preserve">False positives can occur, especially with oropharyngeal swabs and additional testing might be required </w:t>
      </w:r>
    </w:p>
    <w:p w:rsidR="008A0BAF" w:rsidRDefault="008A0BAF" w:rsidP="008A0BAF">
      <w:pPr>
        <w:pStyle w:val="NormalWeb"/>
        <w:spacing w:before="0" w:beforeAutospacing="0" w:after="0" w:afterAutospacing="0"/>
        <w:ind w:left="1440"/>
      </w:pPr>
    </w:p>
    <w:p w:rsidR="008A0BAF" w:rsidRDefault="008A0BAF" w:rsidP="008A0BAF">
      <w:pPr>
        <w:pStyle w:val="NormalWeb"/>
        <w:spacing w:before="0" w:beforeAutospacing="0" w:after="0" w:afterAutospacing="0"/>
        <w:ind w:left="1440"/>
      </w:pPr>
    </w:p>
    <w:p w:rsidR="008A0BAF" w:rsidRDefault="008A0BAF" w:rsidP="008A0BAF">
      <w:pPr>
        <w:pStyle w:val="NormalWeb"/>
        <w:spacing w:before="0" w:beforeAutospacing="0" w:after="0" w:afterAutospacing="0"/>
      </w:pPr>
    </w:p>
    <w:p w:rsidR="008A0BAF" w:rsidRPr="008A0BAF" w:rsidRDefault="008A0BAF" w:rsidP="008A0BAF">
      <w:pPr>
        <w:pStyle w:val="NormalWeb"/>
        <w:spacing w:before="0" w:beforeAutospacing="0" w:after="0" w:afterAutospacing="0"/>
        <w:rPr>
          <w:b/>
        </w:rPr>
      </w:pPr>
      <w:r w:rsidRPr="008A0BAF">
        <w:rPr>
          <w:b/>
        </w:rPr>
        <w:lastRenderedPageBreak/>
        <w:t xml:space="preserve">When is a pelvic exam/Speculum exam necessary? </w:t>
      </w:r>
    </w:p>
    <w:p w:rsidR="008A0BAF" w:rsidRDefault="008A0BAF" w:rsidP="008A0BAF">
      <w:pPr>
        <w:pStyle w:val="NormalWeb"/>
        <w:numPr>
          <w:ilvl w:val="0"/>
          <w:numId w:val="4"/>
        </w:numPr>
        <w:spacing w:before="0" w:beforeAutospacing="0" w:after="0" w:afterAutospacing="0"/>
      </w:pPr>
      <w:r w:rsidRPr="008A0BAF">
        <w:rPr>
          <w:b/>
        </w:rPr>
        <w:t>External genitalia of all patients should be examined</w:t>
      </w:r>
      <w:r>
        <w:t xml:space="preserve"> to confirm normal anatomy, assess pubertal development, and look for evidence of abnormal lesions, infection, or trauma </w:t>
      </w:r>
    </w:p>
    <w:p w:rsidR="008A0BAF" w:rsidRDefault="008A0BAF" w:rsidP="008A0BAF">
      <w:pPr>
        <w:pStyle w:val="NormalWeb"/>
        <w:numPr>
          <w:ilvl w:val="0"/>
          <w:numId w:val="4"/>
        </w:numPr>
        <w:spacing w:before="0" w:beforeAutospacing="0" w:after="0" w:afterAutospacing="0"/>
      </w:pPr>
      <w:r>
        <w:t xml:space="preserve">According to the American Academy of Pediatrics, a pelvic/speculum exam is recommend the following circumstances: </w:t>
      </w:r>
    </w:p>
    <w:p w:rsidR="008A0BAF" w:rsidRDefault="008A0BAF" w:rsidP="008A0BAF">
      <w:pPr>
        <w:pStyle w:val="NormalWeb"/>
        <w:numPr>
          <w:ilvl w:val="1"/>
          <w:numId w:val="4"/>
        </w:numPr>
        <w:spacing w:before="0" w:beforeAutospacing="0" w:after="0" w:afterAutospacing="0"/>
      </w:pPr>
      <w:r>
        <w:t xml:space="preserve">Persistent Vaginal discharge </w:t>
      </w:r>
    </w:p>
    <w:p w:rsidR="008A0BAF" w:rsidRDefault="008A0BAF" w:rsidP="008A0BAF">
      <w:pPr>
        <w:pStyle w:val="NormalWeb"/>
        <w:numPr>
          <w:ilvl w:val="1"/>
          <w:numId w:val="4"/>
        </w:numPr>
        <w:spacing w:before="0" w:beforeAutospacing="0" w:after="0" w:afterAutospacing="0"/>
      </w:pPr>
      <w:r>
        <w:t xml:space="preserve">Dysuria or urinary tract symptoms in a sexually active female </w:t>
      </w:r>
    </w:p>
    <w:p w:rsidR="008A0BAF" w:rsidRDefault="008A0BAF" w:rsidP="008A0BAF">
      <w:pPr>
        <w:pStyle w:val="NormalWeb"/>
        <w:numPr>
          <w:ilvl w:val="1"/>
          <w:numId w:val="4"/>
        </w:numPr>
        <w:spacing w:before="0" w:beforeAutospacing="0" w:after="0" w:afterAutospacing="0"/>
      </w:pPr>
      <w:r>
        <w:t xml:space="preserve">Dysmenorrhea unresponsive to NSAIDS </w:t>
      </w:r>
    </w:p>
    <w:p w:rsidR="008A0BAF" w:rsidRDefault="008A0BAF" w:rsidP="008A0BAF">
      <w:pPr>
        <w:pStyle w:val="NormalWeb"/>
        <w:numPr>
          <w:ilvl w:val="1"/>
          <w:numId w:val="4"/>
        </w:numPr>
        <w:spacing w:before="0" w:beforeAutospacing="0" w:after="0" w:afterAutospacing="0"/>
      </w:pPr>
      <w:r>
        <w:t xml:space="preserve">Amenorrhea </w:t>
      </w:r>
    </w:p>
    <w:p w:rsidR="008A0BAF" w:rsidRDefault="008A0BAF" w:rsidP="008A0BAF">
      <w:pPr>
        <w:pStyle w:val="NormalWeb"/>
        <w:numPr>
          <w:ilvl w:val="1"/>
          <w:numId w:val="4"/>
        </w:numPr>
        <w:spacing w:before="0" w:beforeAutospacing="0" w:after="0" w:afterAutospacing="0"/>
      </w:pPr>
      <w:r>
        <w:t xml:space="preserve">Abnormal vaginal bleeding </w:t>
      </w:r>
    </w:p>
    <w:p w:rsidR="008A0BAF" w:rsidRDefault="008A0BAF" w:rsidP="008A0BAF">
      <w:pPr>
        <w:pStyle w:val="NormalWeb"/>
        <w:numPr>
          <w:ilvl w:val="1"/>
          <w:numId w:val="4"/>
        </w:numPr>
        <w:spacing w:before="0" w:beforeAutospacing="0" w:after="0" w:afterAutospacing="0"/>
      </w:pPr>
      <w:r>
        <w:t xml:space="preserve">Lower abdominal pain </w:t>
      </w:r>
    </w:p>
    <w:p w:rsidR="008A0BAF" w:rsidRDefault="008A0BAF" w:rsidP="008A0BAF">
      <w:pPr>
        <w:pStyle w:val="NormalWeb"/>
        <w:numPr>
          <w:ilvl w:val="1"/>
          <w:numId w:val="4"/>
        </w:numPr>
        <w:spacing w:before="0" w:beforeAutospacing="0" w:after="0" w:afterAutospacing="0"/>
      </w:pPr>
      <w:r>
        <w:t xml:space="preserve">Contraceptive counseling for an IUD or diaphragm </w:t>
      </w:r>
    </w:p>
    <w:p w:rsidR="008A0BAF" w:rsidRDefault="008A0BAF" w:rsidP="008A0BAF">
      <w:pPr>
        <w:pStyle w:val="NormalWeb"/>
        <w:numPr>
          <w:ilvl w:val="1"/>
          <w:numId w:val="4"/>
        </w:numPr>
        <w:spacing w:before="0" w:beforeAutospacing="0" w:after="0" w:afterAutospacing="0"/>
      </w:pPr>
      <w:r>
        <w:t xml:space="preserve">Suspected/reported rape of sexual abuse </w:t>
      </w:r>
    </w:p>
    <w:p w:rsidR="008A0BAF" w:rsidRDefault="008A0BAF" w:rsidP="008A0BAF">
      <w:pPr>
        <w:pStyle w:val="NormalWeb"/>
        <w:numPr>
          <w:ilvl w:val="1"/>
          <w:numId w:val="4"/>
        </w:numPr>
        <w:spacing w:before="0" w:beforeAutospacing="0" w:after="0" w:afterAutospacing="0"/>
      </w:pPr>
      <w:r>
        <w:t xml:space="preserve">Pregnancy </w:t>
      </w:r>
    </w:p>
    <w:p w:rsidR="008A0BAF" w:rsidRDefault="008A0BAF" w:rsidP="008A0BAF">
      <w:pPr>
        <w:pStyle w:val="NormalWeb"/>
        <w:numPr>
          <w:ilvl w:val="1"/>
          <w:numId w:val="4"/>
        </w:numPr>
        <w:spacing w:before="0" w:beforeAutospacing="0" w:after="0" w:afterAutospacing="0"/>
      </w:pPr>
      <w:r>
        <w:t xml:space="preserve">Perform a PAP test </w:t>
      </w:r>
    </w:p>
    <w:p w:rsidR="008A0BAF" w:rsidRDefault="008A0BAF" w:rsidP="008A0BAF">
      <w:pPr>
        <w:pStyle w:val="NormalWeb"/>
        <w:spacing w:before="0" w:beforeAutospacing="0" w:after="0" w:afterAutospacing="0"/>
        <w:ind w:left="1440"/>
      </w:pPr>
    </w:p>
    <w:p w:rsidR="008A0BAF" w:rsidRPr="008A0BAF" w:rsidRDefault="008A0BAF" w:rsidP="008A0BAF">
      <w:pPr>
        <w:pStyle w:val="NormalWeb"/>
        <w:spacing w:before="0" w:beforeAutospacing="0" w:after="0" w:afterAutospacing="0"/>
        <w:rPr>
          <w:b/>
          <w:i/>
        </w:rPr>
      </w:pPr>
      <w:r w:rsidRPr="008A0BAF">
        <w:rPr>
          <w:b/>
          <w:i/>
        </w:rPr>
        <w:t xml:space="preserve">Adolescent patients are very difficult to reach once they leave the ED. If you are suspicious of an STI, please presumptively treat in the ED. </w:t>
      </w:r>
    </w:p>
    <w:p w:rsidR="008A0BAF" w:rsidRDefault="008A0BAF" w:rsidP="008A0BAF">
      <w:pPr>
        <w:pStyle w:val="NormalWeb"/>
        <w:spacing w:before="0" w:beforeAutospacing="0" w:after="0" w:afterAutospacing="0"/>
      </w:pPr>
    </w:p>
    <w:p w:rsidR="008A0BAF" w:rsidRPr="008A0BAF" w:rsidRDefault="008A0BAF" w:rsidP="008A0BAF">
      <w:pPr>
        <w:pStyle w:val="NormalWeb"/>
        <w:spacing w:before="0" w:beforeAutospacing="0" w:after="0" w:afterAutospacing="0"/>
        <w:rPr>
          <w:b/>
          <w:u w:val="single"/>
        </w:rPr>
      </w:pPr>
      <w:r w:rsidRPr="008A0BAF">
        <w:rPr>
          <w:b/>
          <w:u w:val="single"/>
        </w:rPr>
        <w:t xml:space="preserve">References: </w:t>
      </w:r>
    </w:p>
    <w:p w:rsidR="008A0BAF" w:rsidRPr="008A0BAF" w:rsidRDefault="008A0BAF" w:rsidP="008A0BAF">
      <w:pPr>
        <w:pStyle w:val="NormalWeb"/>
        <w:spacing w:before="0" w:beforeAutospacing="0" w:after="0" w:afterAutospacing="0"/>
        <w:rPr>
          <w:sz w:val="18"/>
          <w:szCs w:val="18"/>
        </w:rPr>
      </w:pPr>
      <w:r w:rsidRPr="008A0BAF">
        <w:rPr>
          <w:sz w:val="18"/>
          <w:szCs w:val="18"/>
        </w:rPr>
        <w:t xml:space="preserve">1. http://www.cdc.gov/std/laboratory/2014LabRec/2014-lab-rec.pdf </w:t>
      </w:r>
    </w:p>
    <w:p w:rsidR="008A0BAF" w:rsidRPr="008A0BAF" w:rsidRDefault="008A0BAF" w:rsidP="008A0BAF">
      <w:pPr>
        <w:pStyle w:val="NormalWeb"/>
        <w:spacing w:before="0" w:beforeAutospacing="0" w:after="0" w:afterAutospacing="0"/>
        <w:rPr>
          <w:sz w:val="18"/>
          <w:szCs w:val="18"/>
        </w:rPr>
      </w:pPr>
      <w:proofErr w:type="gramStart"/>
      <w:r w:rsidRPr="008A0BAF">
        <w:rPr>
          <w:sz w:val="18"/>
          <w:szCs w:val="18"/>
        </w:rPr>
        <w:t>2. American Academy of Pediatrics Clinical Report- gynecologic exam for adolescents.</w:t>
      </w:r>
      <w:proofErr w:type="gramEnd"/>
      <w:r w:rsidRPr="008A0BAF">
        <w:rPr>
          <w:sz w:val="18"/>
          <w:szCs w:val="18"/>
        </w:rPr>
        <w:t xml:space="preserve"> </w:t>
      </w:r>
      <w:proofErr w:type="spellStart"/>
      <w:proofErr w:type="gramStart"/>
      <w:r w:rsidRPr="008A0BAF">
        <w:rPr>
          <w:sz w:val="18"/>
          <w:szCs w:val="18"/>
        </w:rPr>
        <w:t>Braverman</w:t>
      </w:r>
      <w:proofErr w:type="spellEnd"/>
      <w:r w:rsidRPr="008A0BAF">
        <w:rPr>
          <w:sz w:val="18"/>
          <w:szCs w:val="18"/>
        </w:rPr>
        <w:t xml:space="preserve"> PK, Breech L; Committee on Adolescence.</w:t>
      </w:r>
      <w:proofErr w:type="gramEnd"/>
      <w:r w:rsidRPr="008A0BAF">
        <w:rPr>
          <w:sz w:val="18"/>
          <w:szCs w:val="18"/>
        </w:rPr>
        <w:t xml:space="preserve"> </w:t>
      </w:r>
      <w:proofErr w:type="gramStart"/>
      <w:r w:rsidRPr="008A0BAF">
        <w:rPr>
          <w:sz w:val="18"/>
          <w:szCs w:val="18"/>
        </w:rPr>
        <w:t>Pediatrics.</w:t>
      </w:r>
      <w:proofErr w:type="gramEnd"/>
      <w:r w:rsidRPr="008A0BAF">
        <w:rPr>
          <w:sz w:val="18"/>
          <w:szCs w:val="18"/>
        </w:rPr>
        <w:t xml:space="preserve"> 2010 Sep</w:t>
      </w:r>
      <w:proofErr w:type="gramStart"/>
      <w:r w:rsidRPr="008A0BAF">
        <w:rPr>
          <w:sz w:val="18"/>
          <w:szCs w:val="18"/>
        </w:rPr>
        <w:t>;126</w:t>
      </w:r>
      <w:proofErr w:type="gramEnd"/>
      <w:r w:rsidRPr="008A0BAF">
        <w:rPr>
          <w:sz w:val="18"/>
          <w:szCs w:val="18"/>
        </w:rPr>
        <w:t xml:space="preserve">(3):583-90. </w:t>
      </w:r>
      <w:proofErr w:type="spellStart"/>
      <w:proofErr w:type="gramStart"/>
      <w:r w:rsidRPr="008A0BAF">
        <w:rPr>
          <w:sz w:val="18"/>
          <w:szCs w:val="18"/>
        </w:rPr>
        <w:t>doi</w:t>
      </w:r>
      <w:proofErr w:type="spellEnd"/>
      <w:proofErr w:type="gramEnd"/>
      <w:r w:rsidRPr="008A0BAF">
        <w:rPr>
          <w:sz w:val="18"/>
          <w:szCs w:val="18"/>
        </w:rPr>
        <w:t xml:space="preserve">: 10.1542/peds.2010-1564. </w:t>
      </w:r>
      <w:proofErr w:type="spellStart"/>
      <w:r w:rsidRPr="008A0BAF">
        <w:rPr>
          <w:sz w:val="18"/>
          <w:szCs w:val="18"/>
        </w:rPr>
        <w:t>Epub</w:t>
      </w:r>
      <w:proofErr w:type="spellEnd"/>
      <w:r w:rsidRPr="008A0BAF">
        <w:rPr>
          <w:sz w:val="18"/>
          <w:szCs w:val="18"/>
        </w:rPr>
        <w:t xml:space="preserve"> 2010 Aug 30. hhtp://Pediatrics.aappublications.org/content/126/3/583.long </w:t>
      </w:r>
    </w:p>
    <w:p w:rsidR="00CA01D2" w:rsidRDefault="00CA01D2" w:rsidP="008A0BAF">
      <w:pPr>
        <w:spacing w:after="0"/>
      </w:pPr>
      <w:bookmarkStart w:id="0" w:name="_GoBack"/>
      <w:bookmarkEnd w:id="0"/>
    </w:p>
    <w:sectPr w:rsidR="00CA01D2" w:rsidSect="00BC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6A82"/>
    <w:multiLevelType w:val="hybridMultilevel"/>
    <w:tmpl w:val="6246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872C6"/>
    <w:multiLevelType w:val="hybridMultilevel"/>
    <w:tmpl w:val="B33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1454C"/>
    <w:multiLevelType w:val="hybridMultilevel"/>
    <w:tmpl w:val="6158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927AA"/>
    <w:multiLevelType w:val="hybridMultilevel"/>
    <w:tmpl w:val="C53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AF"/>
    <w:rsid w:val="001216B9"/>
    <w:rsid w:val="005338DB"/>
    <w:rsid w:val="008A0BAF"/>
    <w:rsid w:val="00BC5368"/>
    <w:rsid w:val="00CA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B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15FE983B.dotm</Template>
  <TotalTime>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genres1</dc:creator>
  <cp:lastModifiedBy>genres1</cp:lastModifiedBy>
  <cp:revision>1</cp:revision>
  <dcterms:created xsi:type="dcterms:W3CDTF">2017-04-12T15:22:00Z</dcterms:created>
  <dcterms:modified xsi:type="dcterms:W3CDTF">2017-04-12T15:27:00Z</dcterms:modified>
</cp:coreProperties>
</file>